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B9" w:rsidRDefault="00745BB9" w:rsidP="00947CB8">
      <w:pPr>
        <w:pStyle w:val="Heading1"/>
      </w:pPr>
      <w:bookmarkStart w:id="0" w:name="_Toc460171024"/>
      <w:r>
        <w:t>Introduction</w:t>
      </w:r>
      <w:bookmarkEnd w:id="0"/>
    </w:p>
    <w:p w:rsidR="00745BB9" w:rsidRDefault="00745BB9" w:rsidP="00745BB9">
      <w:r>
        <w:t>This is a short manual on how to use the Central Configuration plugin for IBM Content Navigator &amp; IBM Case Manager.</w:t>
      </w:r>
    </w:p>
    <w:p w:rsidR="00F566DF" w:rsidRDefault="00F566DF" w:rsidP="00745BB9">
      <w:r>
        <w:t>For updates please see:</w:t>
      </w:r>
    </w:p>
    <w:p w:rsidR="00F566DF" w:rsidRDefault="00F566DF" w:rsidP="00745BB9">
      <w:hyperlink r:id="rId6" w:history="1">
        <w:r w:rsidRPr="00F566DF">
          <w:rPr>
            <w:rStyle w:val="Hyperlink"/>
          </w:rPr>
          <w:t>The introductory blogpost at ivojonker.nl</w:t>
        </w:r>
      </w:hyperlink>
    </w:p>
    <w:p w:rsidR="00745BB9" w:rsidRDefault="00F566DF" w:rsidP="00745BB9">
      <w:r>
        <w:t>Also available in .</w:t>
      </w:r>
      <w:proofErr w:type="spellStart"/>
      <w:r w:rsidR="004D550D">
        <w:fldChar w:fldCharType="begin"/>
      </w:r>
      <w:r w:rsidR="004D550D">
        <w:instrText xml:space="preserve"> HYPERLINK "http://www.ivojonker.nl/ivo/wp-attachments/CentralConfigurationPlugin%20manual.docx" </w:instrText>
      </w:r>
      <w:r w:rsidR="004D550D">
        <w:fldChar w:fldCharType="separate"/>
      </w:r>
      <w:r w:rsidRPr="004D550D">
        <w:rPr>
          <w:rStyle w:val="Hyperlink"/>
        </w:rPr>
        <w:t>doc</w:t>
      </w:r>
      <w:bookmarkStart w:id="1" w:name="_GoBack"/>
      <w:bookmarkEnd w:id="1"/>
      <w:r w:rsidRPr="004D550D">
        <w:rPr>
          <w:rStyle w:val="Hyperlink"/>
        </w:rPr>
        <w:t>x</w:t>
      </w:r>
      <w:proofErr w:type="spellEnd"/>
      <w:r w:rsidR="004D550D">
        <w:fldChar w:fldCharType="end"/>
      </w:r>
      <w:r>
        <w:t xml:space="preserve"> and .</w:t>
      </w:r>
      <w:hyperlink r:id="rId7" w:history="1">
        <w:r w:rsidRPr="004D550D">
          <w:rPr>
            <w:rStyle w:val="Hyperlink"/>
          </w:rPr>
          <w:t>pdf</w:t>
        </w:r>
      </w:hyperlink>
    </w:p>
    <w:p w:rsidR="00F566DF" w:rsidRPr="00745BB9" w:rsidRDefault="00F566DF" w:rsidP="00745BB9"/>
    <w:sdt>
      <w:sdtPr>
        <w:id w:val="-13633593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745BB9" w:rsidRDefault="00745BB9">
          <w:pPr>
            <w:pStyle w:val="TOCHeading"/>
          </w:pPr>
          <w:r>
            <w:t>Contents</w:t>
          </w:r>
        </w:p>
        <w:p w:rsidR="00D33A78" w:rsidRDefault="00745BB9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171024" w:history="1">
            <w:r w:rsidR="00D33A78" w:rsidRPr="003D3846">
              <w:rPr>
                <w:rStyle w:val="Hyperlink"/>
                <w:noProof/>
              </w:rPr>
              <w:t>Introduction</w:t>
            </w:r>
            <w:r w:rsidR="00D33A78">
              <w:rPr>
                <w:noProof/>
                <w:webHidden/>
              </w:rPr>
              <w:tab/>
            </w:r>
            <w:r w:rsidR="00D33A78">
              <w:rPr>
                <w:noProof/>
                <w:webHidden/>
              </w:rPr>
              <w:fldChar w:fldCharType="begin"/>
            </w:r>
            <w:r w:rsidR="00D33A78">
              <w:rPr>
                <w:noProof/>
                <w:webHidden/>
              </w:rPr>
              <w:instrText xml:space="preserve"> PAGEREF _Toc460171024 \h </w:instrText>
            </w:r>
            <w:r w:rsidR="00D33A78">
              <w:rPr>
                <w:noProof/>
                <w:webHidden/>
              </w:rPr>
            </w:r>
            <w:r w:rsidR="00D33A78"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1</w:t>
            </w:r>
            <w:r w:rsidR="00D33A78"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460171025" w:history="1">
            <w:r w:rsidRPr="003D3846">
              <w:rPr>
                <w:rStyle w:val="Hyperlink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Preparing and installing the plugin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460171026" w:history="1">
            <w:r w:rsidRPr="003D3846">
              <w:rPr>
                <w:rStyle w:val="Hyperlink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Preparing the .jar file for use in your environment.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460171027" w:history="1">
            <w:r w:rsidRPr="003D3846">
              <w:rPr>
                <w:rStyle w:val="Hyperlink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Installing the .jar file as navigator plugin / for use within navigator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460171028" w:history="1">
            <w:r w:rsidRPr="003D3846">
              <w:rPr>
                <w:rStyle w:val="Hyperlink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Adding and removing configuration entries using the ICN Plugin manager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460171029" w:history="1">
            <w:r w:rsidRPr="003D3846">
              <w:rPr>
                <w:rStyle w:val="Hyperlink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Installing the .jar for global use within java EE applications (WebSphere)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460171030" w:history="1">
            <w:r w:rsidRPr="003D3846">
              <w:rPr>
                <w:rStyle w:val="Hyperlink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Using the .jar in a single java EE application (running on WebSphere)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460171031" w:history="1">
            <w:r w:rsidRPr="003D3846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3D3846">
              <w:rPr>
                <w:rStyle w:val="Hyperlink"/>
                <w:noProof/>
              </w:rPr>
              <w:t>Accessing the plugin from your code.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460171032" w:history="1">
            <w:r w:rsidRPr="003D3846">
              <w:rPr>
                <w:rStyle w:val="Hyperlink"/>
                <w:noProof/>
              </w:rPr>
              <w:t>2.1. From dojo/JavaScript.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A78" w:rsidRDefault="00D33A78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460171033" w:history="1">
            <w:r w:rsidRPr="003D3846">
              <w:rPr>
                <w:rStyle w:val="Hyperlink"/>
                <w:noProof/>
              </w:rPr>
              <w:t>2.2. From 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_Toc460171033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A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5BB9" w:rsidRDefault="00745BB9">
          <w:r>
            <w:rPr>
              <w:b/>
              <w:bCs/>
              <w:noProof/>
            </w:rPr>
            <w:fldChar w:fldCharType="end"/>
          </w:r>
        </w:p>
      </w:sdtContent>
    </w:sdt>
    <w:p w:rsidR="00745BB9" w:rsidRDefault="00745BB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F54FB" w:rsidRDefault="00BF54FB" w:rsidP="00BF54FB">
      <w:pPr>
        <w:pStyle w:val="Heading1"/>
        <w:numPr>
          <w:ilvl w:val="0"/>
          <w:numId w:val="5"/>
        </w:numPr>
      </w:pPr>
      <w:bookmarkStart w:id="2" w:name="_Toc460171025"/>
      <w:r>
        <w:t>Preparing and installing the plugin</w:t>
      </w:r>
      <w:bookmarkEnd w:id="2"/>
    </w:p>
    <w:p w:rsidR="00C812BB" w:rsidRPr="00C812BB" w:rsidRDefault="00C812BB" w:rsidP="001624E6">
      <w:pPr>
        <w:pStyle w:val="Heading2"/>
        <w:numPr>
          <w:ilvl w:val="1"/>
          <w:numId w:val="5"/>
        </w:numPr>
      </w:pPr>
      <w:bookmarkStart w:id="3" w:name="_Toc460171026"/>
      <w:r>
        <w:t>Preparing the .jar file for use in your environment.</w:t>
      </w:r>
      <w:bookmarkEnd w:id="3"/>
    </w:p>
    <w:p w:rsidR="007B04C3" w:rsidRDefault="007B04C3" w:rsidP="007B04C3">
      <w:pPr>
        <w:pStyle w:val="ListParagraph"/>
        <w:numPr>
          <w:ilvl w:val="0"/>
          <w:numId w:val="1"/>
        </w:numPr>
      </w:pPr>
      <w:r>
        <w:t>Download the CentralConfiguration.jar plugin file.</w:t>
      </w:r>
    </w:p>
    <w:p w:rsidR="007B04C3" w:rsidRDefault="007B04C3" w:rsidP="007B04C3">
      <w:pPr>
        <w:pStyle w:val="ListParagraph"/>
        <w:numPr>
          <w:ilvl w:val="0"/>
          <w:numId w:val="1"/>
        </w:numPr>
      </w:pPr>
      <w:r>
        <w:t xml:space="preserve">Open the CentralConfiguration.jar plugin file with an archive browser (e.g. </w:t>
      </w:r>
      <w:r w:rsidR="0023428C">
        <w:t>WinRAR</w:t>
      </w:r>
      <w:r>
        <w:t>, or 7zip)</w:t>
      </w:r>
    </w:p>
    <w:p w:rsidR="007B04C3" w:rsidRDefault="007B04C3" w:rsidP="007B04C3">
      <w:pPr>
        <w:pStyle w:val="ListParagraph"/>
        <w:numPr>
          <w:ilvl w:val="0"/>
          <w:numId w:val="1"/>
        </w:numPr>
      </w:pPr>
      <w:r>
        <w:t>Within the CentralConfiguration.jar open the ‘config.properties’ file for editing.</w:t>
      </w:r>
      <w:r>
        <w:br/>
        <w:t>Three properties need to be specified, although the defaults may probably work, please take into account the following:</w:t>
      </w:r>
    </w:p>
    <w:p w:rsidR="007B04C3" w:rsidRDefault="007B04C3" w:rsidP="007B04C3">
      <w:pPr>
        <w:pStyle w:val="ListParagraph"/>
        <w:numPr>
          <w:ilvl w:val="1"/>
          <w:numId w:val="1"/>
        </w:numPr>
      </w:pPr>
      <w:r w:rsidRPr="00056B14">
        <w:rPr>
          <w:b/>
        </w:rPr>
        <w:t>DATASOURCEJNDI</w:t>
      </w:r>
      <w:r>
        <w:t>: The configuration plugin relies on a datasource to be available within the JNDI. While you may re-use the navigator</w:t>
      </w:r>
      <w:r w:rsidR="00C812BB">
        <w:t>’s</w:t>
      </w:r>
      <w:r>
        <w:t xml:space="preserve"> </w:t>
      </w:r>
      <w:r w:rsidR="00C812BB">
        <w:t>datasource (default ECMClientDS</w:t>
      </w:r>
      <w:r>
        <w:t>), it is probably</w:t>
      </w:r>
      <w:r w:rsidR="00C812BB">
        <w:t xml:space="preserve"> better to define a new – specific datasource for architectural reasons. </w:t>
      </w:r>
    </w:p>
    <w:p w:rsidR="00C812BB" w:rsidRDefault="00C812BB" w:rsidP="007B04C3">
      <w:pPr>
        <w:pStyle w:val="ListParagraph"/>
        <w:numPr>
          <w:ilvl w:val="1"/>
          <w:numId w:val="1"/>
        </w:numPr>
      </w:pPr>
      <w:r w:rsidRPr="00056B14">
        <w:rPr>
          <w:b/>
        </w:rPr>
        <w:t>CONFIGTABLENAME</w:t>
      </w:r>
      <w:r>
        <w:t>: A database table will be created within the datasource. Be sure not to pick an existing table-name.</w:t>
      </w:r>
    </w:p>
    <w:p w:rsidR="00C812BB" w:rsidRDefault="00C812BB" w:rsidP="00C812BB">
      <w:pPr>
        <w:pStyle w:val="ListParagraph"/>
        <w:numPr>
          <w:ilvl w:val="1"/>
          <w:numId w:val="1"/>
        </w:numPr>
      </w:pPr>
      <w:r w:rsidRPr="00056B14">
        <w:rPr>
          <w:b/>
        </w:rPr>
        <w:t>CREATETABLEQUERY</w:t>
      </w:r>
      <w:r>
        <w:t>: When creating the table to store the configuration, this query will be used. Update the data-types as needed by your database provider.</w:t>
      </w:r>
    </w:p>
    <w:p w:rsidR="00C812BB" w:rsidRDefault="00C812BB" w:rsidP="00C812BB">
      <w:pPr>
        <w:pStyle w:val="ListParagraph"/>
        <w:numPr>
          <w:ilvl w:val="0"/>
          <w:numId w:val="1"/>
        </w:numPr>
      </w:pPr>
      <w:r>
        <w:t>Save the updated ‘config.properties’  file within the ‘CentralConfiguration.jar’.</w:t>
      </w:r>
    </w:p>
    <w:p w:rsidR="00C812BB" w:rsidRDefault="00C812BB" w:rsidP="001624E6">
      <w:pPr>
        <w:pStyle w:val="Heading2"/>
        <w:numPr>
          <w:ilvl w:val="1"/>
          <w:numId w:val="3"/>
        </w:numPr>
      </w:pPr>
      <w:bookmarkStart w:id="4" w:name="_Toc460171027"/>
      <w:r>
        <w:t>Installing the .jar file as navigator plugin / for use within navigator</w:t>
      </w:r>
      <w:bookmarkEnd w:id="4"/>
    </w:p>
    <w:p w:rsidR="007A799B" w:rsidRDefault="007A799B" w:rsidP="00C812BB">
      <w:pPr>
        <w:rPr>
          <w:b/>
        </w:rPr>
      </w:pPr>
    </w:p>
    <w:p w:rsidR="007B04C3" w:rsidRDefault="007B04C3" w:rsidP="009A0858">
      <w:pPr>
        <w:pStyle w:val="ListParagraph"/>
        <w:numPr>
          <w:ilvl w:val="0"/>
          <w:numId w:val="9"/>
        </w:numPr>
      </w:pPr>
      <w:r>
        <w:t>Login as an administrative user on the admin desktop (navigator?desktop=admin). Then navigate to the ‘Plug-ins’ page and press the ‘New Plugin-button’.</w:t>
      </w:r>
    </w:p>
    <w:p w:rsidR="007B04C3" w:rsidRDefault="007B04C3">
      <w:r>
        <w:rPr>
          <w:noProof/>
        </w:rPr>
        <w:drawing>
          <wp:inline distT="0" distB="0" distL="0" distR="0" wp14:anchorId="644F3CE0" wp14:editId="4EDF400E">
            <wp:extent cx="5935980" cy="23088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B" w:rsidRDefault="007A799B" w:rsidP="009A0858">
      <w:pPr>
        <w:pStyle w:val="ListParagraph"/>
        <w:numPr>
          <w:ilvl w:val="0"/>
          <w:numId w:val="9"/>
        </w:numPr>
      </w:pPr>
      <w:r>
        <w:t>Fill in the path to the JAR file and press load;</w:t>
      </w:r>
      <w:r>
        <w:rPr>
          <w:noProof/>
        </w:rPr>
        <w:drawing>
          <wp:inline distT="0" distB="0" distL="0" distR="0" wp14:anchorId="65A93B64" wp14:editId="28585128">
            <wp:extent cx="5935980" cy="47701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B" w:rsidRDefault="007A799B" w:rsidP="009A0858">
      <w:pPr>
        <w:pStyle w:val="ListParagraph"/>
        <w:numPr>
          <w:ilvl w:val="0"/>
          <w:numId w:val="9"/>
        </w:numPr>
      </w:pPr>
      <w:r>
        <w:t>After loading, look at the field “Configuration status”, if all was configured well there’s probably a notice that the configuration table does not yet exist. Click on the [create table] button. The following message should appear:</w:t>
      </w:r>
      <w:r>
        <w:br/>
      </w:r>
      <w:r>
        <w:rPr>
          <w:noProof/>
        </w:rPr>
        <w:drawing>
          <wp:inline distT="0" distB="0" distL="0" distR="0" wp14:anchorId="5F2E3F99" wp14:editId="0C4AC925">
            <wp:extent cx="266700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B" w:rsidRDefault="007A799B" w:rsidP="007A799B">
      <w:pPr>
        <w:pStyle w:val="ListParagraph"/>
      </w:pPr>
      <w:r>
        <w:t>And the status becomes ‘ready’</w:t>
      </w:r>
      <w:r>
        <w:br/>
      </w:r>
      <w:r>
        <w:rPr>
          <w:noProof/>
        </w:rPr>
        <w:drawing>
          <wp:inline distT="0" distB="0" distL="0" distR="0" wp14:anchorId="2C134DE2" wp14:editId="7B9FAED7">
            <wp:extent cx="3886200" cy="624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8" w:rsidRDefault="007A799B" w:rsidP="009A0858">
      <w:pPr>
        <w:pStyle w:val="ListParagraph"/>
        <w:numPr>
          <w:ilvl w:val="0"/>
          <w:numId w:val="9"/>
        </w:numPr>
      </w:pPr>
      <w:r>
        <w:t>All is set.</w:t>
      </w:r>
    </w:p>
    <w:p w:rsidR="008139E8" w:rsidRDefault="008139E8" w:rsidP="008139E8"/>
    <w:p w:rsidR="008139E8" w:rsidRDefault="008139E8" w:rsidP="001624E6">
      <w:pPr>
        <w:pStyle w:val="Heading2"/>
        <w:numPr>
          <w:ilvl w:val="1"/>
          <w:numId w:val="2"/>
        </w:numPr>
      </w:pPr>
      <w:bookmarkStart w:id="5" w:name="_Toc460171028"/>
      <w:r>
        <w:t>Adding and</w:t>
      </w:r>
      <w:r w:rsidR="00947CB8">
        <w:t xml:space="preserve"> removing configuration entries using the ICN Plugin manager</w:t>
      </w:r>
      <w:bookmarkEnd w:id="5"/>
    </w:p>
    <w:p w:rsidR="00160103" w:rsidRDefault="006A1D9F" w:rsidP="009A0858">
      <w:pPr>
        <w:pStyle w:val="ListParagraph"/>
        <w:numPr>
          <w:ilvl w:val="0"/>
          <w:numId w:val="10"/>
        </w:numPr>
      </w:pPr>
      <w:r>
        <w:t>To add an entry, simply type in your key in the ‘Add new pro</w:t>
      </w:r>
      <w:r w:rsidR="00160103">
        <w:t xml:space="preserve">perty’ textfield, and press add. </w:t>
      </w:r>
    </w:p>
    <w:p w:rsidR="007A799B" w:rsidRDefault="00160103" w:rsidP="009A0858">
      <w:pPr>
        <w:pStyle w:val="ListParagraph"/>
        <w:numPr>
          <w:ilvl w:val="0"/>
          <w:numId w:val="10"/>
        </w:numPr>
      </w:pPr>
      <w:r>
        <w:t>The new entry will be automatically grouped with other entries sharing the same namespace.</w:t>
      </w:r>
      <w:r>
        <w:br/>
      </w:r>
      <w:r>
        <w:rPr>
          <w:noProof/>
        </w:rPr>
        <w:drawing>
          <wp:inline distT="0" distB="0" distL="0" distR="0" wp14:anchorId="380362D8" wp14:editId="74F3D24E">
            <wp:extent cx="594360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03" w:rsidRDefault="00160103" w:rsidP="00383969">
      <w:pPr>
        <w:pStyle w:val="ListParagraph"/>
      </w:pPr>
      <w:r>
        <w:t>Each entry has the following attributes:</w:t>
      </w:r>
      <w:r>
        <w:br/>
      </w:r>
      <w:r w:rsidRPr="00645D52">
        <w:rPr>
          <w:b/>
        </w:rPr>
        <w:t>Key</w:t>
      </w:r>
      <w:r>
        <w:t>: The identification attribute that will be used to retrieve the property.</w:t>
      </w:r>
      <w:r>
        <w:br/>
      </w:r>
      <w:r w:rsidRPr="00645D52">
        <w:rPr>
          <w:b/>
        </w:rPr>
        <w:t>Value</w:t>
      </w:r>
      <w:r>
        <w:t>: The value of the attribute which can be any (multiline) string.</w:t>
      </w:r>
      <w:r>
        <w:br/>
      </w:r>
      <w:r w:rsidRPr="00645D52">
        <w:rPr>
          <w:b/>
        </w:rPr>
        <w:t>Description</w:t>
      </w:r>
      <w:r>
        <w:t>: (click on the information icon) A description of the property so other administrators can understand it’s purpose without consulting documentation.</w:t>
      </w:r>
      <w:r>
        <w:br/>
      </w:r>
      <w:r w:rsidRPr="00645D52">
        <w:rPr>
          <w:b/>
        </w:rPr>
        <w:t>Expose to frontend</w:t>
      </w:r>
      <w:r>
        <w:t xml:space="preserve">: Whether or not this entry should be accessible on the frontend. </w:t>
      </w:r>
      <w:r>
        <w:rPr>
          <w:b/>
        </w:rPr>
        <w:t>Warning</w:t>
      </w:r>
      <w:r>
        <w:t xml:space="preserve">: please note that any properties exposed to the frontend will be accessible to all authenticated users. </w:t>
      </w:r>
      <w:r w:rsidR="00383969">
        <w:t>Its discouraged to expose any passwords or api-keys.</w:t>
      </w:r>
      <w:r w:rsidR="00383969">
        <w:br/>
      </w:r>
      <w:r w:rsidR="00383969" w:rsidRPr="00645D52">
        <w:rPr>
          <w:b/>
        </w:rPr>
        <w:t>Evaluate at frontend</w:t>
      </w:r>
      <w:r w:rsidR="00383969">
        <w:t xml:space="preserve">: Whether or not to call javascript-eval() on the content when </w:t>
      </w:r>
      <w:r w:rsidR="0023428C">
        <w:t>accessing</w:t>
      </w:r>
      <w:r w:rsidR="00383969">
        <w:t xml:space="preserve"> the content via </w:t>
      </w:r>
      <w:r w:rsidR="0023428C">
        <w:t>JavaScript</w:t>
      </w:r>
      <w:r w:rsidR="00383969">
        <w:t xml:space="preserve">. This can be useful if you want to have JSON objects </w:t>
      </w:r>
      <w:r w:rsidR="0023428C">
        <w:t>desterilized</w:t>
      </w:r>
      <w:r w:rsidR="00383969">
        <w:t>, or functions as configuration objects.</w:t>
      </w:r>
    </w:p>
    <w:p w:rsidR="00383969" w:rsidRDefault="00383969" w:rsidP="009A0858">
      <w:pPr>
        <w:pStyle w:val="ListParagraph"/>
        <w:numPr>
          <w:ilvl w:val="0"/>
          <w:numId w:val="10"/>
        </w:numPr>
      </w:pPr>
      <w:r>
        <w:t xml:space="preserve">Finally press the “save” button to persist the changes. If all goes well, no messages </w:t>
      </w:r>
      <w:r w:rsidR="00067089">
        <w:t>will</w:t>
      </w:r>
      <w:r>
        <w:t xml:space="preserve"> be shown.</w:t>
      </w:r>
    </w:p>
    <w:p w:rsidR="002D469F" w:rsidRDefault="002D469F" w:rsidP="002D469F">
      <w:r>
        <w:t xml:space="preserve">An entry can be removed by entering </w:t>
      </w:r>
      <w:r w:rsidR="00067089">
        <w:t>its</w:t>
      </w:r>
      <w:r>
        <w:t xml:space="preserve"> full canonical name in the ‘Add new property field’ followed by pressing the ‘Delete’ button.</w:t>
      </w:r>
    </w:p>
    <w:p w:rsidR="00383969" w:rsidRDefault="00383969" w:rsidP="00947CB8"/>
    <w:p w:rsidR="00BF54FB" w:rsidRDefault="00BF54FB" w:rsidP="00947CB8">
      <w:pPr>
        <w:pStyle w:val="Heading1"/>
      </w:pPr>
    </w:p>
    <w:p w:rsidR="001624E6" w:rsidRDefault="001624E6" w:rsidP="001624E6">
      <w:pPr>
        <w:pStyle w:val="Heading2"/>
      </w:pPr>
    </w:p>
    <w:p w:rsidR="00947CB8" w:rsidRDefault="00947CB8" w:rsidP="001624E6">
      <w:pPr>
        <w:pStyle w:val="Heading2"/>
        <w:numPr>
          <w:ilvl w:val="1"/>
          <w:numId w:val="8"/>
        </w:numPr>
      </w:pPr>
      <w:bookmarkStart w:id="6" w:name="_Toc460171029"/>
      <w:r>
        <w:t xml:space="preserve">Installing the .jar for </w:t>
      </w:r>
      <w:r>
        <w:t xml:space="preserve">global </w:t>
      </w:r>
      <w:r>
        <w:t xml:space="preserve">use within java EE applications </w:t>
      </w:r>
      <w:r>
        <w:t>(</w:t>
      </w:r>
      <w:r w:rsidR="009A0858">
        <w:t>WebSphere</w:t>
      </w:r>
      <w:r>
        <w:t>)</w:t>
      </w:r>
      <w:bookmarkEnd w:id="6"/>
    </w:p>
    <w:p w:rsidR="00763497" w:rsidRDefault="00763497" w:rsidP="00763497">
      <w:r>
        <w:t xml:space="preserve">I personally prefer to make the configuration plugin accessible to all the applications running on </w:t>
      </w:r>
      <w:r w:rsidR="009A0858">
        <w:t>WebSphere</w:t>
      </w:r>
      <w:r>
        <w:t xml:space="preserve">. Only one instance will exist per JVM and only one .jar has to be maintained. The way I usually achieve this is my creating a shared library and connect it to JVM’s </w:t>
      </w:r>
      <w:r w:rsidR="00067089">
        <w:t>class loader</w:t>
      </w:r>
      <w:r>
        <w:t>.</w:t>
      </w:r>
    </w:p>
    <w:p w:rsidR="00763497" w:rsidRPr="00763497" w:rsidRDefault="00763497" w:rsidP="00763497">
      <w:r>
        <w:t xml:space="preserve">After taking these steps, don’t forget to reference a copy of the configuration.jar during design/build-time. </w:t>
      </w:r>
    </w:p>
    <w:p w:rsidR="00FB33BD" w:rsidRDefault="00FB33BD" w:rsidP="00FB33BD">
      <w:pPr>
        <w:pStyle w:val="ListParagraph"/>
        <w:numPr>
          <w:ilvl w:val="0"/>
          <w:numId w:val="4"/>
        </w:numPr>
      </w:pPr>
      <w:r>
        <w:t xml:space="preserve">Copy the plugin .jar to newly made directory accessible to the </w:t>
      </w:r>
      <w:r w:rsidR="009A0858">
        <w:t>WebSphere</w:t>
      </w:r>
      <w:r>
        <w:t xml:space="preserve"> server. For </w:t>
      </w:r>
      <w:r w:rsidR="00067089">
        <w:t>example,</w:t>
      </w:r>
      <w:r>
        <w:t xml:space="preserve"> ‘c:\IBM\shared libraries\’.</w:t>
      </w:r>
    </w:p>
    <w:p w:rsidR="00FB33BD" w:rsidRDefault="00FB33BD" w:rsidP="00FB33BD">
      <w:pPr>
        <w:pStyle w:val="ListParagraph"/>
        <w:numPr>
          <w:ilvl w:val="0"/>
          <w:numId w:val="4"/>
        </w:numPr>
      </w:pPr>
      <w:r>
        <w:t xml:space="preserve">Open the </w:t>
      </w:r>
      <w:r w:rsidR="009A0858">
        <w:t>WebSphere</w:t>
      </w:r>
      <w:r>
        <w:t xml:space="preserve"> console (</w:t>
      </w:r>
      <w:hyperlink r:id="rId13" w:history="1">
        <w:r w:rsidRPr="00C1606E">
          <w:rPr>
            <w:rStyle w:val="Hyperlink"/>
          </w:rPr>
          <w:t>https://localhost:9043/ibm/console</w:t>
        </w:r>
      </w:hyperlink>
      <w:r>
        <w:t>) and navigate to Environment -&gt; Shared Libraries. Press “New” to create a new Shared Library.</w:t>
      </w:r>
    </w:p>
    <w:p w:rsidR="00FB33BD" w:rsidRDefault="00FB33BD" w:rsidP="00FB33BD">
      <w:pPr>
        <w:pStyle w:val="ListParagraph"/>
        <w:numPr>
          <w:ilvl w:val="0"/>
          <w:numId w:val="4"/>
        </w:numPr>
      </w:pPr>
      <w:r>
        <w:t xml:space="preserve">Choose a meaningful name (e.g. “Central Configuration”, or  “&lt;Project name&gt;Shared libraries” if you’re intended on having multiple jars available for general use). Enter your path (from step 1) in the </w:t>
      </w:r>
      <w:r w:rsidR="00067089">
        <w:t>class path</w:t>
      </w:r>
      <w:r>
        <w:t>.</w:t>
      </w:r>
    </w:p>
    <w:p w:rsidR="00B67700" w:rsidRDefault="00B67700" w:rsidP="00B67700">
      <w:pPr>
        <w:pStyle w:val="ListParagraph"/>
      </w:pPr>
      <w:r>
        <w:rPr>
          <w:noProof/>
        </w:rPr>
        <w:drawing>
          <wp:inline distT="0" distB="0" distL="0" distR="0" wp14:anchorId="48D7F25F" wp14:editId="1F7A000E">
            <wp:extent cx="5387340" cy="49606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00" w:rsidRDefault="00B67700" w:rsidP="00B67700">
      <w:pPr>
        <w:pStyle w:val="ListParagraph"/>
        <w:numPr>
          <w:ilvl w:val="0"/>
          <w:numId w:val="4"/>
        </w:numPr>
      </w:pPr>
      <w:r>
        <w:t>Press apply, followed by Save.</w:t>
      </w:r>
    </w:p>
    <w:p w:rsidR="00B67700" w:rsidRDefault="00B67700" w:rsidP="00B67700">
      <w:pPr>
        <w:pStyle w:val="ListParagraph"/>
        <w:numPr>
          <w:ilvl w:val="0"/>
          <w:numId w:val="4"/>
        </w:numPr>
      </w:pPr>
      <w:r>
        <w:t xml:space="preserve">Next navigate to Servers-&gt; </w:t>
      </w:r>
      <w:r w:rsidR="009A0858">
        <w:t>WebSphere</w:t>
      </w:r>
      <w:r>
        <w:t xml:space="preserve"> application servers-&gt;&lt;server name&gt;-&gt;Java and Process Management-&gt;Class loader.</w:t>
      </w:r>
    </w:p>
    <w:p w:rsidR="00B67700" w:rsidRDefault="00B67700" w:rsidP="00B67700">
      <w:pPr>
        <w:pStyle w:val="ListParagraph"/>
        <w:numPr>
          <w:ilvl w:val="0"/>
          <w:numId w:val="4"/>
        </w:numPr>
      </w:pPr>
      <w:r>
        <w:t xml:space="preserve">Select the </w:t>
      </w:r>
      <w:r w:rsidR="00067089">
        <w:t>class loader</w:t>
      </w:r>
      <w:r>
        <w:t xml:space="preserve"> already available (if no available, create one). Navigate to “Shared library references”.</w:t>
      </w:r>
      <w:r>
        <w:br/>
      </w:r>
      <w:r>
        <w:rPr>
          <w:noProof/>
        </w:rPr>
        <w:drawing>
          <wp:inline distT="0" distB="0" distL="0" distR="0" wp14:anchorId="2660CEE3" wp14:editId="6AED9DF9">
            <wp:extent cx="5349240" cy="26289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00" w:rsidRDefault="00B67700" w:rsidP="00B67700">
      <w:pPr>
        <w:pStyle w:val="ListParagraph"/>
        <w:numPr>
          <w:ilvl w:val="0"/>
          <w:numId w:val="4"/>
        </w:numPr>
      </w:pPr>
      <w:r>
        <w:t xml:space="preserve"> Add the newly created shared library, then press save.</w:t>
      </w:r>
      <w:r>
        <w:br/>
      </w:r>
      <w:r>
        <w:rPr>
          <w:noProof/>
        </w:rPr>
        <w:drawing>
          <wp:inline distT="0" distB="0" distL="0" distR="0" wp14:anchorId="38D24C8C" wp14:editId="76CF70B2">
            <wp:extent cx="541020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00" w:rsidRPr="00FB33BD" w:rsidRDefault="00B67700" w:rsidP="00B67700">
      <w:pPr>
        <w:pStyle w:val="ListParagraph"/>
        <w:numPr>
          <w:ilvl w:val="0"/>
          <w:numId w:val="4"/>
        </w:numPr>
      </w:pPr>
      <w:r>
        <w:t xml:space="preserve">Finally restart </w:t>
      </w:r>
      <w:r w:rsidR="009A0858">
        <w:t>WebSphere</w:t>
      </w:r>
      <w:r>
        <w:t xml:space="preserve"> to effectuate.</w:t>
      </w:r>
    </w:p>
    <w:p w:rsidR="00947CB8" w:rsidRPr="00947CB8" w:rsidRDefault="00947CB8" w:rsidP="00947CB8"/>
    <w:p w:rsidR="00947CB8" w:rsidRPr="00947CB8" w:rsidRDefault="00947CB8" w:rsidP="009A0858">
      <w:pPr>
        <w:pStyle w:val="Heading2"/>
        <w:numPr>
          <w:ilvl w:val="1"/>
          <w:numId w:val="8"/>
        </w:numPr>
      </w:pPr>
      <w:bookmarkStart w:id="7" w:name="_Toc460171030"/>
      <w:r>
        <w:t xml:space="preserve">Using the .jar in a single java EE application (running on </w:t>
      </w:r>
      <w:r w:rsidR="009A0858">
        <w:t>WebSphere</w:t>
      </w:r>
      <w:r>
        <w:t>)</w:t>
      </w:r>
      <w:bookmarkEnd w:id="7"/>
    </w:p>
    <w:p w:rsidR="00947CB8" w:rsidRPr="00947CB8" w:rsidRDefault="00763497" w:rsidP="00947CB8">
      <w:r>
        <w:t>Simply copy the jar file within your &lt;app.war&gt;\web-inf\lib directory; or your &lt;ear&gt;\lib directory and you’re set to go.</w:t>
      </w:r>
    </w:p>
    <w:p w:rsidR="00947CB8" w:rsidRDefault="00947CB8" w:rsidP="00947CB8"/>
    <w:p w:rsidR="00BF54FB" w:rsidRDefault="00BF54FB" w:rsidP="009A0858">
      <w:pPr>
        <w:pStyle w:val="Heading1"/>
        <w:numPr>
          <w:ilvl w:val="0"/>
          <w:numId w:val="8"/>
        </w:numPr>
      </w:pPr>
      <w:bookmarkStart w:id="8" w:name="_Toc460171031"/>
      <w:r>
        <w:t>Accessing the plugin from your code.</w:t>
      </w:r>
      <w:bookmarkEnd w:id="8"/>
    </w:p>
    <w:p w:rsidR="00BF54FB" w:rsidRDefault="00BF54FB" w:rsidP="00BF54FB"/>
    <w:p w:rsidR="00BF54FB" w:rsidRDefault="00BF54FB" w:rsidP="00BF54FB">
      <w:pPr>
        <w:pStyle w:val="Heading2"/>
      </w:pPr>
      <w:bookmarkStart w:id="9" w:name="_Toc460171032"/>
      <w:r>
        <w:t>2.1. From dojo/</w:t>
      </w:r>
      <w:r w:rsidR="00067089">
        <w:t>JavaScript</w:t>
      </w:r>
      <w:r>
        <w:t>.</w:t>
      </w:r>
      <w:bookmarkEnd w:id="9"/>
    </w:p>
    <w:p w:rsidR="00746439" w:rsidRDefault="00BF54FB" w:rsidP="00BF54FB">
      <w:r>
        <w:t xml:space="preserve">Assuming </w:t>
      </w:r>
      <w:r w:rsidR="00746439">
        <w:t>you’re trying to access specific properties from within the IBM Content Navigator context, the following snippet is all you need to get started.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439" w:rsidTr="00746439">
        <w:tc>
          <w:tcPr>
            <w:tcW w:w="9350" w:type="dxa"/>
          </w:tcPr>
          <w:p w:rsidR="00746439" w:rsidRDefault="00746439" w:rsidP="00BF54FB">
            <w:r>
              <w:rPr>
                <w:rFonts w:ascii="Consolas" w:hAnsi="Consolas"/>
                <w:color w:val="222222"/>
                <w:sz w:val="18"/>
                <w:szCs w:val="18"/>
                <w:shd w:val="clear" w:color="auto" w:fill="FFFFFF"/>
              </w:rPr>
              <w:t>require("CentralConfiguration").get("filenet.ce.iiop")</w:t>
            </w:r>
          </w:p>
        </w:tc>
      </w:tr>
    </w:tbl>
    <w:p w:rsidR="00746439" w:rsidRDefault="00746439" w:rsidP="00BF54FB"/>
    <w:p w:rsidR="00746439" w:rsidRDefault="00746439" w:rsidP="00BF54FB">
      <w:r>
        <w:t>A second parameter can be provided to return a default value if the key ends up to be null or not present in the configuration repository.</w:t>
      </w:r>
    </w:p>
    <w:p w:rsidR="00746439" w:rsidRDefault="00746439" w:rsidP="00746439">
      <w:pPr>
        <w:pStyle w:val="Heading2"/>
      </w:pPr>
      <w:bookmarkStart w:id="10" w:name="_Toc460171033"/>
      <w:r>
        <w:t>2.2. From java</w:t>
      </w:r>
      <w:bookmarkEnd w:id="10"/>
    </w:p>
    <w:p w:rsidR="00746439" w:rsidRPr="00746439" w:rsidRDefault="00746439" w:rsidP="00746439">
      <w:pPr>
        <w:rPr>
          <w:i/>
        </w:rPr>
      </w:pPr>
      <w:r w:rsidRPr="00746439">
        <w:rPr>
          <w:i/>
        </w:rPr>
        <w:t xml:space="preserve">Please take into account that the Central Configuration plugin requires the application to be run within a </w:t>
      </w:r>
      <w:r w:rsidR="009A0858">
        <w:rPr>
          <w:i/>
        </w:rPr>
        <w:t>WebSphere</w:t>
      </w:r>
      <w:r w:rsidRPr="00746439">
        <w:rPr>
          <w:i/>
        </w:rPr>
        <w:t xml:space="preserve"> context.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439" w:rsidTr="00BE39FF">
        <w:tc>
          <w:tcPr>
            <w:tcW w:w="9350" w:type="dxa"/>
          </w:tcPr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package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nl.ivojonker.sample;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nl.ivojonker.icn.configuration.Configuration;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SampleUsage {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doStuff(){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boolean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6A3E3E"/>
                <w:sz w:val="20"/>
                <w:szCs w:val="20"/>
              </w:rPr>
              <w:t>useCache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 xml:space="preserve">//Retrieves the singleton with default useCache = true Simply re-uses earlier collected configuration 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Configuration </w:t>
            </w:r>
            <w:r>
              <w:rPr>
                <w:rFonts w:ascii="Courier New" w:hAnsi="Courier New" w:cs="Courier New"/>
                <w:color w:val="6A3E3E"/>
                <w:sz w:val="20"/>
                <w:szCs w:val="20"/>
              </w:rPr>
              <w:t>config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Configuration.</w:t>
            </w: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getInstance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>//Retrieves the singleton with the option to provide useCache=false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6A3E3E"/>
                <w:sz w:val="20"/>
                <w:szCs w:val="20"/>
              </w:rPr>
              <w:t>config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Configuration.</w:t>
            </w: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getInstance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6A3E3E"/>
                <w:sz w:val="20"/>
                <w:szCs w:val="20"/>
              </w:rPr>
              <w:t>useCache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>//Retrieves the singleton, but will not throw exceptions upon failure - might sometimes be convenient.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>//The risk of not having a configuration available might be mitigated by using the following .getProperty(key,default) function.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config = Configuration.getInstanceSupressExceptions(useCache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>)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>//retrieves the value for filenet.ce.defaultobjectstore.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config.getProperty(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"filenet.ce.defaultobjectstore"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>//retrieves the value for filenet.ce.defaultobjectstore, but returns default if the value does not exist.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config.getProperty(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"filenet.ce.defaultobjectstore"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"TARGET"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4E6" w:rsidRDefault="001624E6" w:rsidP="00162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746439" w:rsidRDefault="00746439" w:rsidP="00BF54FB"/>
        </w:tc>
      </w:tr>
    </w:tbl>
    <w:p w:rsidR="00746439" w:rsidRPr="00BF54FB" w:rsidRDefault="00746439" w:rsidP="00BF54FB"/>
    <w:p w:rsidR="00BF54FB" w:rsidRPr="00BF54FB" w:rsidRDefault="00BF54FB" w:rsidP="00BF54FB"/>
    <w:p w:rsidR="00BF54FB" w:rsidRPr="00BF54FB" w:rsidRDefault="00BF54FB" w:rsidP="00BF54FB"/>
    <w:sectPr w:rsidR="00BF54FB" w:rsidRPr="00BF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D80"/>
    <w:multiLevelType w:val="multilevel"/>
    <w:tmpl w:val="C0DE85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40057D"/>
    <w:multiLevelType w:val="multilevel"/>
    <w:tmpl w:val="4E6E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071D4E"/>
    <w:multiLevelType w:val="hybridMultilevel"/>
    <w:tmpl w:val="F91A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5522"/>
    <w:multiLevelType w:val="multilevel"/>
    <w:tmpl w:val="14A8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22476D"/>
    <w:multiLevelType w:val="hybridMultilevel"/>
    <w:tmpl w:val="B83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5064"/>
    <w:multiLevelType w:val="multilevel"/>
    <w:tmpl w:val="14A8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A878CB"/>
    <w:multiLevelType w:val="multilevel"/>
    <w:tmpl w:val="C0DE85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89057D4"/>
    <w:multiLevelType w:val="multilevel"/>
    <w:tmpl w:val="4E6E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3E04200"/>
    <w:multiLevelType w:val="multilevel"/>
    <w:tmpl w:val="8566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1D2EDE"/>
    <w:multiLevelType w:val="multilevel"/>
    <w:tmpl w:val="4FB8D84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C3"/>
    <w:rsid w:val="00056B14"/>
    <w:rsid w:val="00067089"/>
    <w:rsid w:val="00160103"/>
    <w:rsid w:val="001624E6"/>
    <w:rsid w:val="0023428C"/>
    <w:rsid w:val="0023715F"/>
    <w:rsid w:val="002D469F"/>
    <w:rsid w:val="00314AA7"/>
    <w:rsid w:val="00383969"/>
    <w:rsid w:val="004D550D"/>
    <w:rsid w:val="00616AD2"/>
    <w:rsid w:val="00645D52"/>
    <w:rsid w:val="006A1D9F"/>
    <w:rsid w:val="00745BB9"/>
    <w:rsid w:val="00746439"/>
    <w:rsid w:val="00763497"/>
    <w:rsid w:val="007848E3"/>
    <w:rsid w:val="007A799B"/>
    <w:rsid w:val="007B04C3"/>
    <w:rsid w:val="008139E8"/>
    <w:rsid w:val="00947CB8"/>
    <w:rsid w:val="009A0858"/>
    <w:rsid w:val="00B67700"/>
    <w:rsid w:val="00B81C96"/>
    <w:rsid w:val="00BE39FF"/>
    <w:rsid w:val="00BF54FB"/>
    <w:rsid w:val="00C812BB"/>
    <w:rsid w:val="00D33A78"/>
    <w:rsid w:val="00D63F5D"/>
    <w:rsid w:val="00DA2529"/>
    <w:rsid w:val="00F566DF"/>
    <w:rsid w:val="00FB33BD"/>
    <w:rsid w:val="00F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C3A1"/>
  <w15:chartTrackingRefBased/>
  <w15:docId w15:val="{D8F79694-49D5-4173-B845-2511280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7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33B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45BB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45BB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45BB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45BB9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F5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2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calhost:9043/ibm/consol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ivojonker.nl/ivo/wp-attachments/CentralConfigurationPlugin%20manual.pdf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://www.ivojonker.nl/?p=407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0"/>
    <w:rsid w:val="00017032"/>
    <w:rsid w:val="00F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36352004BD4BE288F834FD73EB0212">
    <w:name w:val="5F36352004BD4BE288F834FD73EB0212"/>
    <w:rsid w:val="00F17A20"/>
  </w:style>
  <w:style w:type="paragraph" w:customStyle="1" w:styleId="DBDD8F4E55974660B830CCC3349A9D0B">
    <w:name w:val="DBDD8F4E55974660B830CCC3349A9D0B"/>
    <w:rsid w:val="00F17A20"/>
  </w:style>
  <w:style w:type="paragraph" w:customStyle="1" w:styleId="00239121C4494680AE54C95697BDCDF4">
    <w:name w:val="00239121C4494680AE54C95697BDCDF4"/>
    <w:rsid w:val="00F1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1036-BD63-4180-A52B-96C7341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CentralConfiguration plugin manual</dc:title>
  <dc:subject/>
  <dc:creator>Ivo Jonker</dc:creator>
  <cp:keywords>ivojonker.nl ibm content navigator case manager websphere configuration central</cp:keywords>
  <dc:description/>
  <cp:lastModifiedBy>Ivo Jonker</cp:lastModifiedBy>
  <cp:revision>7</cp:revision>
  <cp:lastPrinted>2016-08-28T16:19:00Z</cp:lastPrinted>
  <dcterms:created xsi:type="dcterms:W3CDTF">2016-08-28T16:04:00Z</dcterms:created>
  <dcterms:modified xsi:type="dcterms:W3CDTF">2016-08-28T16:20:00Z</dcterms:modified>
</cp:coreProperties>
</file>